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tabs>
          <w:tab w:val="center" w:pos="4537" w:leader="none"/>
          <w:tab w:val="left" w:pos="7740" w:leader="none"/>
        </w:tabs>
        <w:jc w:val="center"/>
        <w:rPr>
          <w:highlight w:val="none"/>
        </w:rPr>
      </w:pPr>
      <w:r>
        <w:t xml:space="preserve">                                                                              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78113" cy="886054"/>
                <wp:effectExtent l="6350" t="6350" r="6350" b="635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7953146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678112" cy="8860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3.39pt;height:69.77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tab/>
      </w:r>
      <w:r>
        <w:rPr>
          <w:highlight w:val="none"/>
        </w:rPr>
      </w:r>
      <w:r>
        <w:rPr>
          <w:highlight w:val="none"/>
        </w:rPr>
      </w:r>
    </w:p>
    <w:p>
      <w:pPr>
        <w:pStyle w:val="8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БЕЛОЯРСКИЙ РАЙОН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843"/>
        <w:jc w:val="center"/>
        <w:rPr>
          <w:sz w:val="20"/>
        </w:rPr>
      </w:pPr>
      <w:r>
        <w:rPr>
          <w:sz w:val="20"/>
        </w:rPr>
        <w:t xml:space="preserve">ХАНТЫ-МАНСИЙСКИЙ АВТОНОМНЫЙ ОКРУГ - ЮГРА</w:t>
      </w:r>
      <w:r>
        <w:rPr>
          <w:sz w:val="20"/>
        </w:rPr>
      </w:r>
      <w:r>
        <w:rPr>
          <w:sz w:val="20"/>
        </w:rPr>
      </w:r>
    </w:p>
    <w:p>
      <w:pPr>
        <w:pStyle w:val="842"/>
        <w:jc w:val="center"/>
        <w:rPr>
          <w:sz w:val="22"/>
          <w:szCs w:val="22"/>
        </w:rPr>
      </w:pPr>
      <w:r>
        <w:rPr>
          <w:sz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2"/>
        <w:jc w:val="center"/>
        <w:rPr>
          <w:sz w:val="22"/>
          <w:szCs w:val="22"/>
        </w:rPr>
      </w:pPr>
      <w:r>
        <w:rPr>
          <w:sz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4"/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ДУМА БЕЛОЯРСКОГО</w:t>
      </w:r>
      <w:r>
        <w:rPr>
          <w:b/>
          <w:sz w:val="28"/>
        </w:rPr>
        <w:t xml:space="preserve"> </w:t>
      </w:r>
      <w:r>
        <w:rPr>
          <w:b/>
          <w:sz w:val="32"/>
          <w:szCs w:val="32"/>
        </w:rPr>
        <w:t xml:space="preserve">РАЙОНА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40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40"/>
        <w:jc w:val="right"/>
        <w:rPr>
          <w:b/>
        </w:rPr>
      </w:pPr>
      <w:r>
        <w:rPr>
          <w:b/>
        </w:rPr>
      </w:r>
      <w:r>
        <w:rPr>
          <w:b/>
        </w:rPr>
        <w:t xml:space="preserve">проект</w:t>
      </w:r>
      <w:r>
        <w:rPr>
          <w:b/>
        </w:rPr>
      </w:r>
      <w:r>
        <w:rPr>
          <w:b/>
        </w:rPr>
      </w:r>
    </w:p>
    <w:p>
      <w:pPr>
        <w:pStyle w:val="841"/>
        <w:ind w:firstLine="720"/>
        <w:jc w:val="center"/>
        <w:rPr>
          <w:sz w:val="28"/>
        </w:rPr>
      </w:pPr>
      <w:r>
        <w:rPr>
          <w:sz w:val="28"/>
        </w:rPr>
        <w:t xml:space="preserve">РЕШЕНИЕ</w:t>
      </w:r>
      <w:r>
        <w:rPr>
          <w:sz w:val="28"/>
        </w:rPr>
      </w:r>
      <w:r>
        <w:rPr>
          <w:sz w:val="28"/>
        </w:rPr>
      </w:r>
    </w:p>
    <w:p>
      <w:pPr>
        <w:pStyle w:val="840"/>
        <w:jc w:val="center"/>
      </w:pPr>
      <w:r>
        <w:t xml:space="preserve">  </w:t>
      </w:r>
    </w:p>
    <w:p>
      <w:pPr>
        <w:pStyle w:val="840"/>
        <w:jc w:val="center"/>
      </w:pPr>
    </w:p>
    <w:p>
      <w:pPr>
        <w:pStyle w:val="840"/>
        <w:jc w:val="center"/>
        <w:rPr>
          <w:b/>
          <w:sz w:val="24"/>
        </w:rPr>
      </w:pPr>
      <w:r>
        <w:rPr>
          <w:sz w:val="24"/>
        </w:rPr>
        <w:t xml:space="preserve">от ____________2025 года</w:t>
      </w:r>
      <w:r>
        <w:tab/>
        <w:tab/>
        <w:tab/>
        <w:tab/>
        <w:tab/>
      </w:r>
      <w:r>
        <w:rPr>
          <w:sz w:val="24"/>
        </w:rPr>
        <w:t xml:space="preserve">                       </w:t>
      </w:r>
      <w:r>
        <w:rPr>
          <w:sz w:val="24"/>
        </w:rPr>
        <w:t xml:space="preserve">             </w:t>
      </w:r>
      <w:r>
        <w:rPr>
          <w:sz w:val="24"/>
        </w:rPr>
        <w:t xml:space="preserve">  </w:t>
      </w:r>
      <w:r>
        <w:rPr>
          <w:sz w:val="24"/>
        </w:rPr>
        <w:t xml:space="preserve">    </w:t>
      </w:r>
      <w:r>
        <w:rPr>
          <w:sz w:val="24"/>
        </w:rPr>
        <w:t xml:space="preserve"> № </w:t>
      </w:r>
      <w:r>
        <w:rPr>
          <w:sz w:val="24"/>
        </w:rPr>
        <w:t xml:space="preserve"> ____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41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0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Порядка назначения и проведения собрания граждан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Белоярском районе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widowControl/>
        <w:suppressLineNumbers w:val="0"/>
        <w:ind w:left="0" w:right="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widowControl/>
        <w:suppressLineNumbers w:val="0"/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статьей 48 Федерального закона от 20 марта 2025 года № 33-ФЗ                    «Об общих принципах организации местного самоуправления в единой системе публичной власти», статьей 12 устава </w:t>
      </w:r>
      <w:r>
        <w:rPr>
          <w:rFonts w:ascii="Times New Roman" w:hAnsi="Times New Roman" w:cs="Times New Roman"/>
          <w:sz w:val="24"/>
          <w:szCs w:val="24"/>
        </w:rPr>
        <w:t xml:space="preserve">Белоярского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Дума Белоярского района </w:t>
      </w:r>
      <w:r>
        <w:rPr>
          <w:rFonts w:ascii="Times New Roman" w:hAnsi="Times New Roman" w:cs="Times New Roman"/>
          <w:b/>
          <w:sz w:val="24"/>
          <w:szCs w:val="24"/>
        </w:rPr>
        <w:t xml:space="preserve">р е ш и л</w:t>
      </w:r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widowControl/>
        <w:suppressLineNumbers w:val="0"/>
        <w:ind w:left="0" w:right="0" w:firstLine="720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прилагаемый Порядок назначения и проведения собрания граждан в</w:t>
      </w:r>
      <w:r>
        <w:rPr>
          <w:rFonts w:ascii="Times New Roman" w:hAnsi="Times New Roman" w:cs="Times New Roman"/>
          <w:sz w:val="24"/>
          <w:szCs w:val="24"/>
        </w:rPr>
        <w:t xml:space="preserve"> Белоярском районе (далее – Порядок)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48"/>
        <w:widowControl/>
        <w:suppressLineNumbers w:val="0"/>
        <w:ind w:left="0" w:right="0" w:firstLine="720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2. Признать утратившими силу: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48"/>
        <w:widowControl/>
        <w:numPr>
          <w:numId w:val="1"/>
          <w:ilvl w:val="0"/>
        </w:numPr>
        <w:suppressLineNumbers w:val="0"/>
        <w:tabs>
          <w:tab w:val="left" w:pos="1134" w:leader="none"/>
          <w:tab w:val="left" w:pos="1417" w:leader="none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решение Думы Белоярского района от 16 мая 2006 года № 36 «Об утверждении Положения о порядке назначения и проведения собраний, конференций граждан в Белоярском районе»;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widowControl/>
        <w:numPr>
          <w:numId w:val="1"/>
          <w:ilvl w:val="0"/>
        </w:numPr>
        <w:suppressLineNumbers w:val="0"/>
        <w:tabs>
          <w:tab w:val="left" w:pos="1134" w:leader="none"/>
          <w:tab w:val="left" w:pos="1417" w:leader="none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решение Думы Белоярского района от 18 августа 2009 года № 110 «О внесении изменений в решения Думы Белоярского района от 16 мая 2006 года № 36, от 16 мая 2006 года № 37, от 10 октября 2006 года № 73»;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widowControl/>
        <w:numPr>
          <w:numId w:val="1"/>
          <w:ilvl w:val="0"/>
        </w:numPr>
        <w:suppressLineNumbers w:val="0"/>
        <w:tabs>
          <w:tab w:val="left" w:pos="1134" w:leader="none"/>
          <w:tab w:val="left" w:pos="1417" w:leader="none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решение Думы Белоярского района от 21 мая 2010 года № 58 «О внесении изменений в Положение о порядке назначения и проведения собраний, конференций граждан в Белоярском районе»;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widowControl/>
        <w:numPr>
          <w:numId w:val="1"/>
          <w:ilvl w:val="0"/>
        </w:numPr>
        <w:suppressLineNumbers w:val="0"/>
        <w:tabs>
          <w:tab w:val="left" w:pos="1134" w:leader="none"/>
          <w:tab w:val="left" w:pos="1417" w:leader="none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решение Думы Белоярского района от 10 февраля 2021 года № 6 «О внесении изменений в приложение к решению Думы Белоярского района от 16 мая 2006 года № 36».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widowControl/>
        <w:suppressLineNumbers w:val="0"/>
        <w:ind w:left="0"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3.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Уст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ановить, что на основании части 1 статьи  91 Федерального закона от 20 марта 2025 года № 33-ФЗ «Об общих принципах организации местного самоуправления в единой системе публичной власти» до 1 января 2027 года собрания граждан проводятся в соответствии с Пор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ядком для обсуждения вопросов местного значения.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widowControl/>
        <w:suppressLineNumbers w:val="0"/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Опубликовать настоящее решение в газете «Белоярские вести. Официальный выпуск».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widowControl/>
        <w:suppressLineNumbers w:val="0"/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Настоящее решение вступает в силу после его официального опубликования.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widowControl/>
        <w:ind w:right="0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Думы </w:t>
      </w:r>
      <w:r>
        <w:rPr>
          <w:rFonts w:ascii="Times New Roman" w:hAnsi="Times New Roman" w:cs="Times New Roman"/>
          <w:sz w:val="24"/>
          <w:szCs w:val="24"/>
        </w:rPr>
        <w:t xml:space="preserve">Белоярского района                                                               А.Г.Берестов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49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widowControl/>
        <w:ind w:right="0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Глава Белоярского района                                                                                        С.П.Маненков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48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hd w:val="nil" w:color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УТВЕРЖДЕН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shd w:val="nil" w:color="00000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Думы Белоярского района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50"/>
        <w:widowControl/>
        <w:ind w:left="3312"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т  _____________2025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____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50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 О Р Я Д О К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назначения и проведения собрания граждан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Белоярском районе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850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50"/>
        <w:widowControl/>
        <w:numPr>
          <w:numId w:val="3"/>
          <w:ilvl w:val="0"/>
        </w:numPr>
        <w:ind w:righ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Общие положения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8"/>
        <w:widowControl/>
        <w:numPr>
          <w:numId w:val="4"/>
          <w:ilvl w:val="1"/>
        </w:numPr>
        <w:tabs>
          <w:tab w:val="left" w:pos="1276" w:leader="none"/>
        </w:tabs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Настоящий Порядок назначения и проведения собрания граждан в Белоярском районе (далее – Порядок) разработан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 статьей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48 Федерального закона от 20 марта 2025 года № 33-ФЗ «Об общих принципах организации местного самоуправления в единой системе публичной власти», статьей 12 устава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Белоярского района 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определяет порядок назначения и проведения собрания граждан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Белоярском районе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обсуждения вопросов непосредственного обеспечения жизнедеятельности населения; для информирования населения о деятельности органов местного самоуправления и должностных лиц местного самоуправления; на территории района или на части 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 территории по вопросу выявления мнения граждан о поддержке инициативного проекта.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848"/>
        <w:widowControl/>
        <w:numPr>
          <w:numId w:val="4"/>
          <w:ilvl w:val="1"/>
        </w:numPr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Действие настоящего Порядка не распространяется на порядок назначения и проведения собрания граждан в целях осуществления территориального общественного самоуправления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1.3. В собрании гра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ждан, проводимом на территории района или на части его территории по вопросу выявления мнения граждан о поддержке инициативного проекта, вправе принимать участие жители соответствующей территории, достигшие восемнадцатилетнего возраста.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1.4.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Участие населения в собраниях граждан является свободным и добровольным. Никто не вправе оказывать принудительное воздействие на граждан в целях участия или неучастия в собрании граждан, а также на их свободное волеизъявление.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 w:firstLine="708"/>
        <w:jc w:val="both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1.5. Собрание граждан является формой участия населения в осуществлении местного самоуправления.</w:t>
      </w:r>
    </w:p>
    <w:p>
      <w:pPr>
        <w:pStyle w:val="849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8"/>
        <w:widowControl/>
        <w:ind w:right="0" w:firstLine="54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  <w:t xml:space="preserve">2. Назначение собрания граждан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pStyle w:val="848"/>
        <w:widowControl/>
        <w:ind w:right="0" w:firstLine="54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r>
    </w:p>
    <w:p>
      <w:pPr>
        <w:pStyle w:val="848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Собрания граждан, проводимые по инициативе населения 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Думы района,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назначаются решением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Думы 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Собрания граждан, проводимые по инициативе главы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назначаются постановлением главы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848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2.2.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Инициатива Думы района может быть выдвинута группой депутатов или постоянной комиссией Думы района. Инициатива депутатов Думы района оформляется в письменной форме с указанием вопросов, которые предполагается расс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мотреть на собрании граждан, и подлежит рассмотрению на очередном заседании Думы района.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Инициатива населения о провед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ении собрания граждан оформляется  посредством направления обращения инициативной группы граждан из числа жителей района в количестве не менее 10 человек в Думу района.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бращение о назначении собрания граждан должно содержать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вопросы, выносимые на собрание граждан;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обоснование необходимости их рассмотрения на собрании граждан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. К обращению должна быть приложена копия протокола собрания инициативной группы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Обращение о назначении собрания граждан, подписанное уполномоченным представителем  инициативной группы, направляется в  Думу района, которая обязана на очередном заседании назначить собрание граждан либо мот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ивировано отказать в его назначении.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2.4.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Содержание вопроса, выносимого на собрание граждан, не должно противоречить федеральному законодательству, законодательству Ханты-Мансийского автономного округа - Югры и муниципальным правовым актам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 Основанием для отказа в назначении проведения собрания граждан является нарушение порядка обращения с инициативой о проведении собрания граждан, установленного настоящим Порядком.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8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2.6. Решение 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умы района, постановление главы района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назначении собрания граждан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подлежат официальному опубликованию в газете «Белоярские вести. Официальный выпуск», размещению на официальном сайте органов местного самоуправления района в сети «Интернет». Население также может оповещаться о проведении собрания граждан с помощью размещения информации на информационных стендах и  досках объявлений.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8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2.7. В решении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Думы района,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постановлении главы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назначении собрания граждан указываются: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8"/>
        <w:widowControl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дата проведения собрания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(по инициативе населения - не позднее одного месяца со дня принятия решения о назначении собрания граждан)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8"/>
        <w:widowControl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время, место проведения собрания граждан;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8"/>
        <w:widowControl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территория, жители которой имеют прав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участвовать в собрании граждан;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8"/>
        <w:widowControl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инициаторы созыва собрания граждан;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8"/>
        <w:widowControl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предварительная повестка дня;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8"/>
        <w:widowControl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порядок ознакомления с материалами, обсуждение которых предполагается на собрании граждан.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8"/>
        <w:widowControl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2.8. Подготовку и проведение собраний граждан, назначаемых по инициативе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Думы района,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осуществляет отраслевой (функциональный) орган администрации района, определяемый главой 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848"/>
        <w:widowControl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3. Проведение собрания граждан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r>
    </w:p>
    <w:p>
      <w:pPr>
        <w:pStyle w:val="849"/>
        <w:widowControl/>
        <w:ind w:right="0"/>
        <w:jc w:val="both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 w:firstLine="708"/>
        <w:jc w:val="both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3.1. Перед началом собрания граждан отраслевым (функциональным) органом администрации района, определенным главой района, производится регистрация участников собрания граждан посредством заполнения регистрационного листа участников собрания граждан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</w:t>
      </w:r>
    </w:p>
    <w:p>
      <w:pPr>
        <w:pStyle w:val="849"/>
        <w:widowControl/>
        <w:ind w:right="0" w:firstLine="708"/>
        <w:jc w:val="both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 Собрание граждан открывается представителем уполномоченного главой района отраслевого (функционального) органа администрации района.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ведения собрания граждан избираются председатель и секретарь.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Утверждается повестка дня и регламент работы собрания граждан.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 w:firstLine="708"/>
        <w:jc w:val="both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 Решение соб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рания граждан принимается открытым голосованием простым большинством голосов от присутствующих участников собрания граждан. При голосовании по каждому вопросу участник собрания имеет один голос и подает его за принятие решения или против него либо воздержи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вается от принятия решения. Свое право на голосование каждый участник собрания осуществляет лично.</w:t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объявления председателем о начале голосования никто не вправе прервать голосование. По окончании подсчета голосов председатель объявляет, какое решение принято.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3.4. На собрании ведется протокол, в котором указываются: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дата и место проведения собрания граждан;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- инициатор созыва собрания граждан;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количество присутствующих;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повестка дня;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краткое содержание выступлений;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результаты голосования и принятые решения.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Протокол подписывается председателем и секретарем собрания граждан. К протоколу прилагается регистрационный лист участников собрания граждан.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849"/>
        <w:widowControl/>
        <w:ind w:right="0" w:firstLine="708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  <w:t xml:space="preserve">4. Заключительные положения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pStyle w:val="849"/>
        <w:widowControl/>
        <w:ind w:right="0" w:firstLine="708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4.1.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Собрание граждан может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 принимать обращения к органам местного самоуправления района и должностным лицам местного самоуправления района, а также избирать лиц, уполномоченных представлять собрание граждан во взаимоотношениях с органами местного самоуправления района и должностным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и лицами местного самоуправления района.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4.2. Обращения, прин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ятые собранием граждан, подлежат обязательному рассмотрению органами местного самоуправления района и должностными лицами местного самоуправления района, к компетенции которых отнесено решение содержащихся в обращениях вопросов, с направлением письменного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ответа.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</w:r>
    </w:p>
    <w:p>
      <w:pPr>
        <w:pStyle w:val="849"/>
        <w:widowControl/>
        <w:ind w:right="0" w:firstLine="708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4.3. Итоги собрания граждан подлежат официальному обнародованию путем опубликования в газете «Белоярские вести. Официальный выпуск» не позднее 10 дней со дня проведения собрания граждан.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r>
    </w:p>
    <w:p>
      <w:pPr>
        <w:pStyle w:val="856"/>
        <w:spacing w:before="0"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Расходы, связанные с подготовкой и проведением собрани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граждан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осуществляются за счет средств бюджета района.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49"/>
        <w:widowControl/>
        <w:ind w:right="0"/>
        <w:jc w:val="center"/>
      </w:pPr>
    </w:p>
    <w:sectPr>
      <w:footnotePr/>
      <w:endnotePr/>
      <w:type w:val="nextPage"/>
      <w:pgSz w:w="11909" w:h="16834" w:orient="portrait"/>
      <w:pgMar w:top="1134" w:right="850" w:bottom="960" w:left="1559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9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0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40"/>
    <w:next w:val="840"/>
    <w:link w:val="663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40"/>
    <w:next w:val="840"/>
    <w:link w:val="66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40"/>
    <w:next w:val="840"/>
    <w:link w:val="66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40"/>
    <w:next w:val="840"/>
    <w:link w:val="66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40"/>
    <w:next w:val="840"/>
    <w:link w:val="67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40"/>
    <w:next w:val="840"/>
    <w:link w:val="67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40"/>
    <w:next w:val="840"/>
    <w:link w:val="67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40"/>
    <w:next w:val="840"/>
    <w:link w:val="67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40"/>
    <w:next w:val="840"/>
    <w:link w:val="67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840"/>
    <w:uiPriority w:val="34"/>
    <w:qFormat/>
    <w:pPr>
      <w:ind w:left="720"/>
      <w:contextualSpacing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40"/>
    <w:next w:val="840"/>
    <w:link w:val="683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link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link w:val="694"/>
    <w:uiPriority w:val="35"/>
    <w:rPr>
      <w:b/>
      <w:bCs/>
      <w:color w:val="4f81bd" w:themeColor="accent1"/>
      <w:sz w:val="18"/>
      <w:szCs w:val="18"/>
    </w:rPr>
  </w:style>
  <w:style w:type="table" w:styleId="69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3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3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3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3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3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3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3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spacing w:after="57"/>
      <w:ind w:left="0" w:right="0" w:firstLine="0"/>
    </w:pPr>
  </w:style>
  <w:style w:type="paragraph" w:styleId="830">
    <w:name w:val="toc 2"/>
    <w:basedOn w:val="840"/>
    <w:next w:val="840"/>
    <w:uiPriority w:val="39"/>
    <w:unhideWhenUsed/>
    <w:pPr>
      <w:spacing w:after="57"/>
      <w:ind w:left="283" w:right="0" w:firstLine="0"/>
    </w:pPr>
  </w:style>
  <w:style w:type="paragraph" w:styleId="831">
    <w:name w:val="toc 3"/>
    <w:basedOn w:val="840"/>
    <w:next w:val="840"/>
    <w:uiPriority w:val="39"/>
    <w:unhideWhenUsed/>
    <w:pPr>
      <w:spacing w:after="57"/>
      <w:ind w:left="567" w:right="0" w:firstLine="0"/>
    </w:pPr>
  </w:style>
  <w:style w:type="paragraph" w:styleId="832">
    <w:name w:val="toc 4"/>
    <w:basedOn w:val="840"/>
    <w:next w:val="840"/>
    <w:uiPriority w:val="39"/>
    <w:unhideWhenUsed/>
    <w:pPr>
      <w:spacing w:after="57"/>
      <w:ind w:left="850" w:right="0" w:firstLine="0"/>
    </w:pPr>
  </w:style>
  <w:style w:type="paragraph" w:styleId="833">
    <w:name w:val="toc 5"/>
    <w:basedOn w:val="840"/>
    <w:next w:val="840"/>
    <w:uiPriority w:val="39"/>
    <w:unhideWhenUsed/>
    <w:pPr>
      <w:spacing w:after="57"/>
      <w:ind w:left="1134" w:right="0" w:firstLine="0"/>
    </w:pPr>
  </w:style>
  <w:style w:type="paragraph" w:styleId="834">
    <w:name w:val="toc 6"/>
    <w:basedOn w:val="840"/>
    <w:next w:val="840"/>
    <w:uiPriority w:val="39"/>
    <w:unhideWhenUsed/>
    <w:pPr>
      <w:spacing w:after="57"/>
      <w:ind w:left="1417" w:right="0" w:firstLine="0"/>
    </w:pPr>
  </w:style>
  <w:style w:type="paragraph" w:styleId="835">
    <w:name w:val="toc 7"/>
    <w:basedOn w:val="840"/>
    <w:next w:val="840"/>
    <w:uiPriority w:val="39"/>
    <w:unhideWhenUsed/>
    <w:pPr>
      <w:spacing w:after="57"/>
      <w:ind w:left="1701" w:right="0" w:firstLine="0"/>
    </w:pPr>
  </w:style>
  <w:style w:type="paragraph" w:styleId="836">
    <w:name w:val="toc 8"/>
    <w:basedOn w:val="840"/>
    <w:next w:val="840"/>
    <w:uiPriority w:val="39"/>
    <w:unhideWhenUsed/>
    <w:pPr>
      <w:spacing w:after="57"/>
      <w:ind w:left="1984" w:right="0" w:firstLine="0"/>
    </w:pPr>
  </w:style>
  <w:style w:type="paragraph" w:styleId="837">
    <w:name w:val="toc 9"/>
    <w:basedOn w:val="840"/>
    <w:next w:val="840"/>
    <w:uiPriority w:val="39"/>
    <w:unhideWhenUsed/>
    <w:pPr>
      <w:spacing w:after="57"/>
      <w:ind w:left="2268" w:right="0" w:firstLine="0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next w:val="840"/>
    <w:link w:val="840"/>
    <w:rPr>
      <w:lang w:val="ru-RU" w:eastAsia="ru-RU" w:bidi="ar-SA"/>
    </w:rPr>
  </w:style>
  <w:style w:type="paragraph" w:styleId="841">
    <w:name w:val="Заголовок 1"/>
    <w:basedOn w:val="840"/>
    <w:next w:val="840"/>
    <w:link w:val="840"/>
    <w:pPr>
      <w:keepNext/>
      <w:spacing w:line="360" w:lineRule="auto"/>
      <w:jc w:val="center"/>
      <w:outlineLvl w:val="0"/>
    </w:pPr>
    <w:rPr>
      <w:b/>
      <w:sz w:val="24"/>
    </w:rPr>
  </w:style>
  <w:style w:type="paragraph" w:styleId="842">
    <w:name w:val="Заголовок 2"/>
    <w:basedOn w:val="840"/>
    <w:next w:val="840"/>
    <w:link w:val="840"/>
    <w:pPr>
      <w:keepNext/>
      <w:ind w:firstLine="708"/>
      <w:jc w:val="both"/>
      <w:outlineLvl w:val="1"/>
    </w:pPr>
    <w:rPr>
      <w:b/>
      <w:sz w:val="24"/>
    </w:rPr>
  </w:style>
  <w:style w:type="paragraph" w:styleId="843">
    <w:name w:val="Заголовок 3"/>
    <w:basedOn w:val="840"/>
    <w:next w:val="840"/>
    <w:link w:val="840"/>
    <w:pPr>
      <w:keepNext/>
      <w:outlineLvl w:val="2"/>
    </w:pPr>
    <w:rPr>
      <w:b/>
      <w:sz w:val="24"/>
    </w:rPr>
  </w:style>
  <w:style w:type="paragraph" w:styleId="844">
    <w:name w:val="Заголовок 5"/>
    <w:basedOn w:val="840"/>
    <w:next w:val="840"/>
    <w:link w:val="840"/>
    <w:pPr>
      <w:keepNext/>
      <w:outlineLvl w:val="4"/>
    </w:pPr>
    <w:rPr>
      <w:sz w:val="24"/>
    </w:rPr>
  </w:style>
  <w:style w:type="character" w:styleId="845">
    <w:name w:val="Основной шрифт абзаца"/>
    <w:next w:val="845"/>
    <w:link w:val="840"/>
    <w:semiHidden/>
  </w:style>
  <w:style w:type="table" w:styleId="846">
    <w:name w:val="Обычная таблица"/>
    <w:next w:val="846"/>
    <w:link w:val="840"/>
    <w:semiHidden/>
    <w:tblPr/>
  </w:style>
  <w:style w:type="numbering" w:styleId="847">
    <w:name w:val="Нет списка"/>
    <w:next w:val="847"/>
    <w:link w:val="840"/>
    <w:semiHidden/>
  </w:style>
  <w:style w:type="paragraph" w:styleId="848">
    <w:name w:val="ConsNormal"/>
    <w:next w:val="848"/>
    <w:link w:val="840"/>
    <w:pPr>
      <w:widowControl w:val="off"/>
      <w:ind w:right="19772" w:firstLine="720"/>
    </w:pPr>
    <w:rPr>
      <w:rFonts w:ascii="Arial" w:hAnsi="Arial" w:cs="Arial"/>
      <w:lang w:val="ru-RU" w:eastAsia="ru-RU" w:bidi="ar-SA"/>
    </w:rPr>
  </w:style>
  <w:style w:type="paragraph" w:styleId="849">
    <w:name w:val="ConsNonformat"/>
    <w:next w:val="849"/>
    <w:link w:val="840"/>
    <w:pPr>
      <w:widowControl w:val="off"/>
      <w:ind w:right="19772"/>
    </w:pPr>
    <w:rPr>
      <w:rFonts w:ascii="Courier New" w:hAnsi="Courier New" w:cs="Courier New"/>
      <w:lang w:val="ru-RU" w:eastAsia="ru-RU" w:bidi="ar-SA"/>
    </w:rPr>
  </w:style>
  <w:style w:type="paragraph" w:styleId="850">
    <w:name w:val="ConsTitle"/>
    <w:next w:val="850"/>
    <w:link w:val="840"/>
    <w:pPr>
      <w:widowControl w:val="off"/>
      <w:ind w:right="19772"/>
    </w:pPr>
    <w:rPr>
      <w:rFonts w:ascii="Arial" w:hAnsi="Arial" w:cs="Arial"/>
      <w:b/>
      <w:bCs/>
      <w:lang w:val="ru-RU" w:eastAsia="ru-RU" w:bidi="ar-SA"/>
    </w:rPr>
  </w:style>
  <w:style w:type="paragraph" w:styleId="851">
    <w:name w:val="ConsCell"/>
    <w:next w:val="851"/>
    <w:link w:val="840"/>
    <w:pPr>
      <w:widowControl w:val="off"/>
      <w:ind w:right="19772"/>
    </w:pPr>
    <w:rPr>
      <w:rFonts w:ascii="Arial" w:hAnsi="Arial" w:cs="Arial"/>
      <w:lang w:val="ru-RU" w:eastAsia="ru-RU" w:bidi="ar-SA"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table" w:styleId="854" w:default="1">
    <w:name w:val="Normal Table"/>
    <w:uiPriority w:val="99"/>
    <w:semiHidden/>
    <w:unhideWhenUsed/>
    <w:tblPr/>
  </w:style>
  <w:style w:type="paragraph" w:styleId="855" w:customStyle="1">
    <w:name w:val=".HEADERTEXT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2b4279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56" w:customStyle="1">
    <w:name w:val=".FORMATTEXT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Abriks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TarasovaAN</dc:creator>
  <cp:lastModifiedBy>GorelikovaAU</cp:lastModifiedBy>
  <cp:revision>30</cp:revision>
  <dcterms:created xsi:type="dcterms:W3CDTF">2006-05-11T02:02:00Z</dcterms:created>
  <dcterms:modified xsi:type="dcterms:W3CDTF">2025-11-14T09:22:43Z</dcterms:modified>
  <cp:version>661986</cp:version>
</cp:coreProperties>
</file>